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spacing w:before="0" w:beforeAutospacing="0" w:after="68" w:afterAutospacing="0" w:line="209" w:lineRule="exact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ИЗВЕЩЕНИЕ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center"/>
        <w:spacing w:before="0" w:beforeAutospacing="0" w:after="68" w:afterAutospacing="0" w:line="209" w:lineRule="exact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о проведении ежегодного краевого конкурса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«Лучшие проекты информатизации на Алтае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имени В.И. Берегового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»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center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Наименование конкурса: «Лучшие проекты информатизации на Алтае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имени В.И. Берегового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».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Основание проведения конкурса: указ Губернатора Алтайского края от 10.04.2015 № 30 «О ежегодном краевом конкурсе «Лучшие проекты информатизации на Алтае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имени В.И. Берегового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».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Организаторы конкурса: Министерство цифрового развития и связи Алтайского края, союз «Алтайская торгово-промышленная палата».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Цель конкурса: выявление перспективных проектов информатизации, повышение конкурентоспособности региональных информационных продуктов и услуг, а также создание организационных условий для их продвижения в Алтайском крае.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В 2026 году конкурс пройдет по номинации: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«S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tudent аpportunITy».</w:t>
      </w:r>
      <w:r>
        <w:rPr>
          <w:highlight w:val="none"/>
        </w:rPr>
      </w:r>
      <w:r>
        <w:rPr>
          <w:highlight w:val="none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К участию в конкурсе приглашаются: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физические лица: студенты или преподаватели (необходима регистрация в Алтайском крае);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юридические лица и индивидуальные предприниматели: образовательные организации, имеющие регистрацию в Алтайском крае;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авторские и творческие коллективы, состоящие из студентов, преподавателей, студентов и преподавателей (хотя бы один из участников коллектива должен иметь регистрацию в Алтайском крае).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Порядок предоставления конкурсной документации: для участия в конкурсе претенденты представляют заявку и описание проекта путем заполнения специальной формы на сайте конкурса: </w:t>
      </w:r>
      <w:hyperlink r:id="rId8" w:tooltip="https://project.it-alttpp.ru/" w:history="1">
        <w:r>
          <w:rPr>
            <w:rStyle w:val="853"/>
            <w:rFonts w:ascii="PT Astra Serif" w:hAnsi="PT Astra Serif" w:cs="PT Astra Serif"/>
            <w:color w:val="8083bd"/>
            <w:sz w:val="28"/>
            <w:szCs w:val="28"/>
          </w:rPr>
          <w:t xml:space="preserve">https://project.it-alttpp.ru/</w:t>
        </w:r>
      </w:hyperlink>
      <w:r>
        <w:rPr>
          <w:rFonts w:ascii="PT Astra Serif" w:hAnsi="PT Astra Serif" w:cs="PT Astra Serif"/>
          <w:color w:val="000000"/>
          <w:sz w:val="28"/>
          <w:szCs w:val="28"/>
        </w:rPr>
        <w:t xml:space="preserve">. Перечень требований, предъявляемых к заявкам и участникам конкурса, содержится в конкурсной документации (утверждена </w:t>
      </w:r>
      <w:hyperlink r:id="rId9" w:tooltip="https://digital.alregn.ru/projects/konkurs_LPI/2022/%D0%9A%D0%BE%D0%BD%D0%BA%D1%83%D1%80%D1%81%D0%BD%D0%B0%D1%8F%20%D0%B4%D0%BE%D0%BA%D1%83%D0%BC%D0%B5%D0%BD%D1%82%D0%B0%D1%86%D0%B8%D1%8F.pdf" w:history="1">
        <w:r>
          <w:rPr>
            <w:rStyle w:val="853"/>
            <w:rFonts w:ascii="PT Astra Serif" w:hAnsi="PT Astra Serif" w:cs="PT Astra Serif"/>
            <w:sz w:val="28"/>
            <w:szCs w:val="28"/>
          </w:rPr>
          <w:t xml:space="preserve">приказ</w:t>
        </w:r>
        <w:r>
          <w:rPr>
            <w:rStyle w:val="853"/>
            <w:rFonts w:ascii="PT Astra Serif" w:hAnsi="PT Astra Serif" w:cs="PT Astra Serif"/>
            <w:sz w:val="28"/>
            <w:szCs w:val="28"/>
          </w:rPr>
          <w:t xml:space="preserve">о</w:t>
        </w:r>
        <w:r>
          <w:rPr>
            <w:rStyle w:val="853"/>
            <w:rFonts w:ascii="PT Astra Serif" w:hAnsi="PT Astra Serif" w:cs="PT Astra Serif"/>
            <w:sz w:val="28"/>
            <w:szCs w:val="28"/>
          </w:rPr>
          <w:t xml:space="preserve">м Министерства цифрового развития и связи Алтайского края от 17.05.2019 № 68</w:t>
        </w:r>
      </w:hyperlink>
      <w:r>
        <w:rPr>
          <w:rFonts w:ascii="PT Astra Serif" w:hAnsi="PT Astra Serif" w:cs="PT Astra Serif"/>
          <w:color w:val="000000"/>
          <w:sz w:val="28"/>
          <w:szCs w:val="28"/>
        </w:rPr>
        <w:t xml:space="preserve">)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.</w:t>
      </w:r>
      <w:bookmarkStart w:id="0" w:name="_GoBack"/>
      <w:r>
        <w:rPr>
          <w:rFonts w:ascii="PT Astra Serif" w:hAnsi="PT Astra Serif" w:cs="PT Astra Serif"/>
        </w:rPr>
      </w:r>
      <w:bookmarkEnd w:id="0"/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Дата начала приема заявок: 12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.05.2026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Дата окончания приема заявок: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21.08.2026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left="0" w:right="0" w:firstLine="0"/>
        <w:jc w:val="left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highlight w:val="none"/>
        </w:rPr>
        <w:t xml:space="preserve">Этапы конкурса: </w:t>
      </w:r>
      <w:r>
        <w:rPr>
          <w:rFonts w:ascii="PT Astra Serif" w:hAnsi="PT Astra Serif" w:cs="PT Astra Serif"/>
          <w:color w:val="000000"/>
          <w:sz w:val="28"/>
          <w:szCs w:val="28"/>
        </w:rPr>
      </w:r>
      <w:r/>
    </w:p>
    <w:p>
      <w:pPr>
        <w:ind w:left="0" w:right="0" w:firstLine="539"/>
        <w:jc w:val="both"/>
        <w:spacing w:before="240" w:after="0" w:line="57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Заочный этап - комплексная экспертиза членами экспертного совета ИТ-проектов по критериям, определенным в разделе 9</w:t>
      </w: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 конкурсной документации. Оценка заявок осуществляется путем онлайн-голосования на сайте Конкурса.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39"/>
        <w:jc w:val="both"/>
        <w:spacing w:before="238" w:after="0" w:line="57" w:lineRule="atLeast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Очный этап - презентация ИТ-проектов финалистами Конкурса. П</w:t>
      </w: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о решению организаторов допускается проведение этапа в режиме видео-конференц-связи.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38" w:after="0" w:line="57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Times New Roman" w:cs="PT Astra Serif"/>
          <w:color w:val="000000"/>
          <w:sz w:val="28"/>
          <w:szCs w:val="28"/>
          <w:highlight w:val="none"/>
        </w:rPr>
        <w:t xml:space="preserve">Критерии оценки ИТ-проектов: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39"/>
        <w:jc w:val="both"/>
        <w:spacing w:before="238" w:after="0" w:line="57" w:lineRule="atLeast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достижение поставленных целей, завершенность проекта. В рамках данного критерия оценивается уровень достижения цели создания и внедрения ИТ-проекта (например, сокращение объема работы, повышение эффективности производства, привлечение массовой аудитории, у</w:t>
      </w: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величение спроса потребителей и др.); этапы разработки, а также стадии внедрения ИТ-проекта (стартап; разработан, но не внедрен в промышленную эксплуатацию; внедрен в промышленную эксплуатацию) (вес критерия - 0,25);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238" w:after="0" w:line="57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оригинальность, новизна, отличие от аналогов либо отсутствие аналогов. В рамках данного критерия оценивается оригинальность идеи ИТ-проекта, набора функциональности и технологических подходов; уникальность ИТ-проекта в сравнении с имеющимися аналогами; нал</w:t>
      </w: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ичие или отсутствие аналогов по функциональности, способу и эффективности решения задачи; качество анализа отличий от проектов конкурентов и сравнительных преимуществ ИТ-проекта (вес критерия - 0,2);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39"/>
        <w:jc w:val="both"/>
        <w:spacing w:before="238" w:after="0" w:line="57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масштабируемость, способность к взаимодействию с другими системами, мобильность. В рамках данного критерия оценивается возможность ИТ-проекта выдерживать нагрузку при добавлении дополнительных ресурсов, новых пользователей; возможность доступа к функционал</w:t>
      </w: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у ИТ-проекта с любого устройства, подключенного к Интернету, а также возможность переноса данных ИТ-проекта при модернизации или замене функциональных компонентов ИТ-проекта, возможность дальнейшей работы пользователей ИТ-проекта без их переобучения при из</w:t>
      </w: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менении условий эксплуатации ИТ-проекта (вес критерия - 0,15);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39"/>
        <w:jc w:val="both"/>
        <w:spacing w:before="238" w:after="0" w:line="57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обоснованность применяемых проектных решений - оценивается наличие анализа технологий, методов, ресурсов, используемых при разработке ИТ-проекта, их соответствие целям и задачам ИТ-проекта (вес критерия - 0,1);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39"/>
        <w:jc w:val="both"/>
        <w:spacing w:before="238" w:after="0" w:line="57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актуальность, экономическая или социальная полезность. В рамках данного критерия оценивается актуальность решаемых социальных, экономических, производственных или управленческих задач и значимость удовлетворяемой потребности пользователей; влияние ИТ-проек</w:t>
      </w: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та на социальную сферу Алтайского края, а также соответствие проекта потребностям региона (0,3).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Итоги конкурса: награждение победителя и лауреатов конкурса состоится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на Алтайском региональном ИТ-форуме.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52"/>
        <w:jc w:val="both"/>
        <w:spacing w:before="0" w:beforeAutospacing="0" w:after="150" w:afterAutospacing="0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Дополнительную информацию о конкурсе можно получить по телефон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br/>
        <w:t xml:space="preserve">(3852)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538-265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5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38 26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4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либо по адресу электронной почты suslova@alregn.ru.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Calibr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6"/>
    <w:uiPriority w:val="10"/>
    <w:rPr>
      <w:sz w:val="48"/>
      <w:szCs w:val="48"/>
    </w:rPr>
  </w:style>
  <w:style w:type="character" w:styleId="664">
    <w:name w:val="Subtitle Char"/>
    <w:basedOn w:val="682"/>
    <w:link w:val="698"/>
    <w:uiPriority w:val="11"/>
    <w:rPr>
      <w:sz w:val="24"/>
      <w:szCs w:val="24"/>
    </w:rPr>
  </w:style>
  <w:style w:type="character" w:styleId="665">
    <w:name w:val="Quote Char"/>
    <w:link w:val="700"/>
    <w:uiPriority w:val="29"/>
    <w:rPr>
      <w:i/>
    </w:rPr>
  </w:style>
  <w:style w:type="character" w:styleId="666">
    <w:name w:val="Intense Quote Char"/>
    <w:link w:val="702"/>
    <w:uiPriority w:val="30"/>
    <w:rPr>
      <w:i/>
    </w:rPr>
  </w:style>
  <w:style w:type="character" w:styleId="667">
    <w:name w:val="Header Char"/>
    <w:basedOn w:val="682"/>
    <w:link w:val="704"/>
    <w:uiPriority w:val="99"/>
  </w:style>
  <w:style w:type="character" w:styleId="668">
    <w:name w:val="Caption Char"/>
    <w:basedOn w:val="708"/>
    <w:link w:val="706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72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72"/>
    <w:next w:val="67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Название Знак"/>
    <w:basedOn w:val="682"/>
    <w:link w:val="696"/>
    <w:uiPriority w:val="10"/>
    <w:rPr>
      <w:sz w:val="48"/>
      <w:szCs w:val="48"/>
    </w:rPr>
  </w:style>
  <w:style w:type="paragraph" w:styleId="698">
    <w:name w:val="Subtitle"/>
    <w:basedOn w:val="672"/>
    <w:next w:val="67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82"/>
    <w:link w:val="698"/>
    <w:uiPriority w:val="11"/>
    <w:rPr>
      <w:sz w:val="24"/>
      <w:szCs w:val="24"/>
    </w:rPr>
  </w:style>
  <w:style w:type="paragraph" w:styleId="700">
    <w:name w:val="Quote"/>
    <w:basedOn w:val="672"/>
    <w:next w:val="672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2"/>
    <w:next w:val="672"/>
    <w:link w:val="703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82"/>
    <w:link w:val="704"/>
    <w:uiPriority w:val="99"/>
  </w:style>
  <w:style w:type="paragraph" w:styleId="706">
    <w:name w:val="Footer"/>
    <w:basedOn w:val="672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82"/>
    <w:uiPriority w:val="99"/>
  </w:style>
  <w:style w:type="paragraph" w:styleId="708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8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0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4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4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3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7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6" w:customStyle="1">
    <w:name w:val="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17" w:customStyle="1">
    <w:name w:val="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18" w:customStyle="1">
    <w:name w:val="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19" w:customStyle="1">
    <w:name w:val="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20" w:customStyle="1">
    <w:name w:val="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21" w:customStyle="1">
    <w:name w:val="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22" w:customStyle="1">
    <w:name w:val="Bordered &amp; 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3" w:customStyle="1">
    <w:name w:val="Bordered &amp; 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24" w:customStyle="1">
    <w:name w:val="Bordered &amp; 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25" w:customStyle="1">
    <w:name w:val="Bordered &amp; 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6" w:customStyle="1">
    <w:name w:val="Bordered &amp; 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27" w:customStyle="1">
    <w:name w:val="Bordered &amp; 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28" w:customStyle="1">
    <w:name w:val="Bordered &amp; 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29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1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5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6">
    <w:name w:val="footnote text"/>
    <w:basedOn w:val="672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2"/>
    <w:uiPriority w:val="99"/>
    <w:unhideWhenUsed/>
    <w:rPr>
      <w:vertAlign w:val="superscript"/>
    </w:rPr>
  </w:style>
  <w:style w:type="paragraph" w:styleId="839">
    <w:name w:val="endnote text"/>
    <w:basedOn w:val="672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2"/>
    <w:uiPriority w:val="99"/>
    <w:semiHidden/>
    <w:unhideWhenUsed/>
    <w:rPr>
      <w:vertAlign w:val="superscript"/>
    </w:rPr>
  </w:style>
  <w:style w:type="paragraph" w:styleId="842">
    <w:name w:val="toc 1"/>
    <w:basedOn w:val="672"/>
    <w:next w:val="672"/>
    <w:uiPriority w:val="39"/>
    <w:unhideWhenUsed/>
    <w:pPr>
      <w:spacing w:after="57"/>
    </w:pPr>
  </w:style>
  <w:style w:type="paragraph" w:styleId="843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4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5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6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7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8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9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50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Normal (Web)"/>
    <w:basedOn w:val="672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853">
    <w:name w:val="Hyperlink"/>
    <w:basedOn w:val="682"/>
    <w:uiPriority w:val="99"/>
    <w:unhideWhenUsed/>
    <w:rPr>
      <w:color w:val="0000ff"/>
      <w:u w:val="single"/>
    </w:rPr>
  </w:style>
  <w:style w:type="character" w:styleId="854">
    <w:name w:val="FollowedHyperlink"/>
    <w:basedOn w:val="682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project.it-alttpp.ru/" TargetMode="External"/><Relationship Id="rId9" Type="http://schemas.openxmlformats.org/officeDocument/2006/relationships/hyperlink" Target="https://digital.alregn.ru/projects/konkurs_LPI/2022/%D0%9A%D0%BE%D0%BD%D0%BA%D1%83%D1%80%D1%81%D0%BD%D0%B0%D1%8F%20%D0%B4%D0%BE%D0%BA%D1%83%D0%BC%D0%B5%D0%BD%D1%82%D0%B0%D1%86%D0%B8%D1%8F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Седойкин</dc:creator>
  <cp:keywords/>
  <dc:description/>
  <cp:revision>16</cp:revision>
  <dcterms:created xsi:type="dcterms:W3CDTF">2022-04-27T05:45:00Z</dcterms:created>
  <dcterms:modified xsi:type="dcterms:W3CDTF">2026-05-12T05:04:54Z</dcterms:modified>
</cp:coreProperties>
</file>